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C11" w:rsidRPr="00C16C11" w:rsidRDefault="00C16C11" w:rsidP="00C16C11">
      <w:pPr>
        <w:pStyle w:val="AppendixHeading2"/>
        <w:spacing w:before="0" w:line="240" w:lineRule="auto"/>
        <w:ind w:right="22"/>
        <w:jc w:val="center"/>
        <w:rPr>
          <w:rFonts w:ascii="Times New Roman" w:hAnsi="Times New Roman"/>
          <w:sz w:val="44"/>
          <w:szCs w:val="44"/>
          <w14:ligatures w14:val="none"/>
        </w:rPr>
      </w:pPr>
      <w:r w:rsidRPr="00C16C11">
        <w:rPr>
          <w:rFonts w:ascii="Times New Roman" w:hAnsi="Times New Roman"/>
          <w:sz w:val="44"/>
          <w:szCs w:val="44"/>
          <w14:ligatures w14:val="none"/>
        </w:rPr>
        <w:t xml:space="preserve">Adult Education and Literacy </w:t>
      </w:r>
    </w:p>
    <w:p w:rsidR="008E0492" w:rsidRPr="00C16C11" w:rsidRDefault="00C16C11" w:rsidP="00C16C11">
      <w:pPr>
        <w:pStyle w:val="AppendixHeading2"/>
        <w:spacing w:before="0" w:line="240" w:lineRule="auto"/>
        <w:ind w:right="22"/>
        <w:jc w:val="center"/>
        <w:rPr>
          <w:rFonts w:ascii="Times New Roman" w:hAnsi="Times New Roman"/>
          <w:sz w:val="44"/>
          <w:szCs w:val="44"/>
          <w14:ligatures w14:val="none"/>
        </w:rPr>
      </w:pPr>
      <w:r w:rsidRPr="00C16C11">
        <w:rPr>
          <w:rFonts w:ascii="Times New Roman" w:hAnsi="Times New Roman"/>
          <w:sz w:val="44"/>
          <w:szCs w:val="44"/>
          <w14:ligatures w14:val="none"/>
        </w:rPr>
        <w:t>Classroom Observation*</w:t>
      </w:r>
    </w:p>
    <w:p w:rsidR="008E0492" w:rsidRDefault="008E0492" w:rsidP="008E0492">
      <w:pPr>
        <w:pStyle w:val="AppendixHeading2"/>
        <w:spacing w:before="0"/>
        <w:ind w:right="22"/>
        <w:jc w:val="center"/>
        <w:rPr>
          <w:rFonts w:ascii="Times New Roman" w:hAnsi="Times New Roman"/>
          <w:i/>
          <w:iCs/>
          <w:sz w:val="24"/>
          <w:szCs w:val="24"/>
          <w14:ligatures w14:val="none"/>
        </w:rPr>
      </w:pPr>
      <w:r>
        <w:rPr>
          <w:rFonts w:ascii="Times New Roman" w:hAnsi="Times New Roman"/>
          <w:i/>
          <w:iCs/>
          <w:sz w:val="24"/>
          <w:szCs w:val="24"/>
          <w14:ligatures w14:val="none"/>
        </w:rPr>
        <w:t>(</w:t>
      </w:r>
      <w:proofErr w:type="gramStart"/>
      <w:r>
        <w:rPr>
          <w:rFonts w:ascii="Times New Roman" w:hAnsi="Times New Roman"/>
          <w:i/>
          <w:iCs/>
          <w:sz w:val="24"/>
          <w:szCs w:val="24"/>
          <w14:ligatures w14:val="none"/>
        </w:rPr>
        <w:t>adopted</w:t>
      </w:r>
      <w:proofErr w:type="gramEnd"/>
      <w:r>
        <w:rPr>
          <w:rFonts w:ascii="Times New Roman" w:hAnsi="Times New Roman"/>
          <w:i/>
          <w:iCs/>
          <w:sz w:val="24"/>
          <w:szCs w:val="24"/>
          <w14:ligatures w14:val="none"/>
        </w:rPr>
        <w:t xml:space="preserve"> to include Instructor Standards)</w:t>
      </w:r>
    </w:p>
    <w:p w:rsidR="008E0492" w:rsidRDefault="008E0492" w:rsidP="008E0492">
      <w:pPr>
        <w:pStyle w:val="AppendixHeading2"/>
        <w:spacing w:before="0"/>
        <w:ind w:right="22"/>
        <w:rPr>
          <w:rFonts w:ascii="Times New Roman" w:hAnsi="Times New Roman"/>
          <w:b w:val="0"/>
          <w:bCs w:val="0"/>
          <w:sz w:val="22"/>
          <w:szCs w:val="22"/>
          <w14:ligatures w14:val="none"/>
        </w:rPr>
      </w:pPr>
      <w:r>
        <w:rPr>
          <w:rFonts w:ascii="Times New Roman" w:hAnsi="Times New Roman"/>
          <w:b w:val="0"/>
          <w:bCs w:val="0"/>
          <w:sz w:val="22"/>
          <w:szCs w:val="22"/>
          <w14:ligatures w14:val="none"/>
        </w:rPr>
        <w:t> </w:t>
      </w:r>
    </w:p>
    <w:p w:rsidR="008E0492" w:rsidRDefault="008E0492" w:rsidP="008E0492">
      <w:pPr>
        <w:pStyle w:val="AppendixHeading2"/>
        <w:spacing w:before="0"/>
        <w:ind w:right="22"/>
        <w:rPr>
          <w:rFonts w:ascii="Times New Roman" w:hAnsi="Times New Roman"/>
          <w:b w:val="0"/>
          <w:bCs w:val="0"/>
          <w:sz w:val="22"/>
          <w:szCs w:val="22"/>
          <w14:ligatures w14:val="none"/>
        </w:rPr>
      </w:pPr>
      <w:r>
        <w:rPr>
          <w:rFonts w:ascii="Times New Roman" w:hAnsi="Times New Roman"/>
          <w:b w:val="0"/>
          <w:bCs w:val="0"/>
          <w:sz w:val="22"/>
          <w:szCs w:val="22"/>
          <w14:ligatures w14:val="none"/>
        </w:rPr>
        <w:t xml:space="preserve">Classroom observations are a hallmark of standards-based instructional leadership.  They are a prime method program administrators can use to monitor the consistency of instructional practices and their fidelity to standards. </w:t>
      </w:r>
      <w:r>
        <w:rPr>
          <w:rFonts w:ascii="Times New Roman" w:hAnsi="Times New Roman"/>
          <w:b w:val="0"/>
          <w:bCs w:val="0"/>
          <w:i/>
          <w:iCs/>
          <w:sz w:val="22"/>
          <w:szCs w:val="22"/>
          <w14:ligatures w14:val="none"/>
        </w:rPr>
        <w:t>Observing is different and separate from formal summative evaluations of personnel</w:t>
      </w:r>
      <w:r>
        <w:rPr>
          <w:rFonts w:ascii="Times New Roman" w:hAnsi="Times New Roman"/>
          <w:b w:val="0"/>
          <w:bCs w:val="0"/>
          <w:sz w:val="22"/>
          <w:szCs w:val="22"/>
          <w14:ligatures w14:val="none"/>
        </w:rPr>
        <w:t>.  One of its most powerful features is a reliance on the aggregation of data across instructors and specific teaching and learning practices.  The purpose of classroom observations is to reveal effective and ineffective teaching practices and curriculum choices recurring across multiple classrooms within a program and across the state—not to judge the merit or performance of a specific instructor.  Observations of a single instructor cannot provide an accurate portrait of instructional quality within an entire program.  But when findings from visits to every classroom within a program are analyzed, a clear picture of standards-based instruction emerges.  Program coordinators can then address the professional development needs of an entire faculty more effectively, by investigating common instructional choices made by multiple instructors.</w:t>
      </w:r>
    </w:p>
    <w:p w:rsidR="008E0492" w:rsidRDefault="008E0492" w:rsidP="008E0492">
      <w:pPr>
        <w:pStyle w:val="AppendixHeading2"/>
        <w:spacing w:before="0"/>
        <w:ind w:right="22"/>
        <w:rPr>
          <w:rFonts w:ascii="Times New Roman" w:hAnsi="Times New Roman"/>
          <w:b w:val="0"/>
          <w:bCs w:val="0"/>
          <w:sz w:val="22"/>
          <w:szCs w:val="22"/>
          <w14:ligatures w14:val="none"/>
        </w:rPr>
      </w:pPr>
      <w:r>
        <w:rPr>
          <w:rFonts w:ascii="Times New Roman" w:hAnsi="Times New Roman"/>
          <w:b w:val="0"/>
          <w:bCs w:val="0"/>
          <w:sz w:val="22"/>
          <w:szCs w:val="22"/>
          <w14:ligatures w14:val="none"/>
        </w:rPr>
        <w:t> </w:t>
      </w:r>
    </w:p>
    <w:p w:rsidR="008E0492" w:rsidRDefault="008E0492" w:rsidP="008E0492">
      <w:pPr>
        <w:pStyle w:val="AppendixHeading2"/>
        <w:spacing w:before="0"/>
        <w:ind w:right="22"/>
        <w:rPr>
          <w:rFonts w:ascii="Times New Roman" w:hAnsi="Times New Roman"/>
          <w:sz w:val="22"/>
          <w:szCs w:val="22"/>
          <w14:ligatures w14:val="none"/>
        </w:rPr>
      </w:pPr>
      <w:r>
        <w:rPr>
          <w:rFonts w:ascii="Times New Roman" w:hAnsi="Times New Roman"/>
          <w:sz w:val="22"/>
          <w:szCs w:val="22"/>
          <w14:ligatures w14:val="none"/>
        </w:rPr>
        <w:t>Observing is designed to be formative, non-threatening, and forward-looking—a system in which the observer is clearly invested in instructors’ success.</w:t>
      </w:r>
    </w:p>
    <w:p w:rsidR="008E0492" w:rsidRDefault="008E0492" w:rsidP="008E0492">
      <w:pPr>
        <w:pStyle w:val="AppendixHeading2"/>
        <w:spacing w:before="0"/>
        <w:ind w:right="22"/>
        <w:rPr>
          <w:rFonts w:ascii="Times New Roman" w:hAnsi="Times New Roman"/>
          <w:sz w:val="22"/>
          <w:szCs w:val="22"/>
          <w14:ligatures w14:val="none"/>
        </w:rPr>
      </w:pPr>
      <w:r>
        <w:rPr>
          <w:rFonts w:ascii="Times New Roman" w:hAnsi="Times New Roman"/>
          <w:sz w:val="22"/>
          <w:szCs w:val="22"/>
          <w14:ligatures w14:val="none"/>
        </w:rPr>
        <w:t> </w:t>
      </w:r>
    </w:p>
    <w:p w:rsidR="008E0492" w:rsidRDefault="008E0492" w:rsidP="008E0492">
      <w:pPr>
        <w:pStyle w:val="AppendixHeading2"/>
        <w:spacing w:before="0"/>
        <w:ind w:right="22"/>
        <w:rPr>
          <w:rFonts w:ascii="Times New Roman" w:hAnsi="Times New Roman"/>
          <w:b w:val="0"/>
          <w:bCs w:val="0"/>
          <w:sz w:val="22"/>
          <w:szCs w:val="22"/>
          <w14:ligatures w14:val="none"/>
        </w:rPr>
      </w:pPr>
      <w:r>
        <w:rPr>
          <w:rFonts w:ascii="Times New Roman" w:hAnsi="Times New Roman"/>
          <w:b w:val="0"/>
          <w:bCs w:val="0"/>
          <w:sz w:val="22"/>
          <w:szCs w:val="22"/>
          <w14:ligatures w14:val="none"/>
        </w:rPr>
        <w:t>The toolkit includes, the observational tool, the aggregation of observation data form and the summary of observation data form. Follow these guidelines when observing:</w:t>
      </w:r>
    </w:p>
    <w:p w:rsidR="008E0492" w:rsidRDefault="008E0492" w:rsidP="008E0492">
      <w:pPr>
        <w:widowControl w:val="0"/>
        <w:rPr>
          <w14:ligatures w14:val="none"/>
        </w:rPr>
      </w:pPr>
      <w:r>
        <w:rPr>
          <w14:ligatures w14:val="none"/>
        </w:rPr>
        <w:t> </w:t>
      </w:r>
    </w:p>
    <w:p w:rsidR="008E0492" w:rsidRPr="008E0492" w:rsidRDefault="008E0492" w:rsidP="008E0492">
      <w:pPr>
        <w:pStyle w:val="ListParagraph"/>
        <w:numPr>
          <w:ilvl w:val="0"/>
          <w:numId w:val="1"/>
        </w:numPr>
        <w:rPr>
          <w:rFonts w:ascii="Times New Roman" w:hAnsi="Times New Roman"/>
          <w:sz w:val="22"/>
          <w:szCs w:val="22"/>
        </w:rPr>
      </w:pPr>
      <w:r w:rsidRPr="008E0492">
        <w:rPr>
          <w:rFonts w:ascii="Times New Roman" w:hAnsi="Times New Roman"/>
          <w:sz w:val="22"/>
          <w:szCs w:val="22"/>
        </w:rPr>
        <w:t>Support the natural atmosphere of the classroom.</w:t>
      </w:r>
    </w:p>
    <w:p w:rsidR="008E0492" w:rsidRPr="00C16C11" w:rsidRDefault="008E0492" w:rsidP="00C16C11">
      <w:pPr>
        <w:pStyle w:val="NoSpacing"/>
        <w:numPr>
          <w:ilvl w:val="0"/>
          <w:numId w:val="5"/>
        </w:numPr>
        <w:rPr>
          <w:rFonts w:ascii="Times New Roman" w:hAnsi="Times New Roman"/>
          <w:sz w:val="24"/>
          <w:szCs w:val="24"/>
        </w:rPr>
      </w:pPr>
      <w:r w:rsidRPr="00C16C11">
        <w:rPr>
          <w:rFonts w:ascii="Times New Roman" w:hAnsi="Times New Roman"/>
          <w:sz w:val="24"/>
          <w:szCs w:val="24"/>
        </w:rPr>
        <w:t>Arrive early and remain in the classroom during the entire lesson to capture how the lesson is set up, its flow and conclusion.</w:t>
      </w:r>
    </w:p>
    <w:p w:rsidR="008E0492" w:rsidRPr="00C16C11" w:rsidRDefault="008E0492" w:rsidP="00C16C11">
      <w:pPr>
        <w:pStyle w:val="NoSpacing"/>
        <w:numPr>
          <w:ilvl w:val="0"/>
          <w:numId w:val="5"/>
        </w:numPr>
        <w:rPr>
          <w:rFonts w:ascii="Times New Roman" w:hAnsi="Times New Roman"/>
          <w:sz w:val="24"/>
          <w:szCs w:val="24"/>
        </w:rPr>
      </w:pPr>
      <w:r w:rsidRPr="00C16C11">
        <w:rPr>
          <w:rFonts w:ascii="Times New Roman" w:hAnsi="Times New Roman"/>
          <w:sz w:val="24"/>
          <w:szCs w:val="24"/>
        </w:rPr>
        <w:t>Minimize your interaction with students, although contact is permitted if done discreetly and with the purpose of understanding what students are thinking and working on.  Otherwise, asking questions or participating in activities can detract from your observations.</w:t>
      </w:r>
    </w:p>
    <w:p w:rsidR="008E0492" w:rsidRPr="008E0492" w:rsidRDefault="008E0492" w:rsidP="008E0492">
      <w:pPr>
        <w:pStyle w:val="ListParagraph"/>
        <w:numPr>
          <w:ilvl w:val="0"/>
          <w:numId w:val="1"/>
        </w:numPr>
        <w:rPr>
          <w:rFonts w:ascii="Times New Roman" w:hAnsi="Times New Roman"/>
          <w:sz w:val="22"/>
          <w:szCs w:val="22"/>
        </w:rPr>
      </w:pPr>
      <w:r w:rsidRPr="008E0492">
        <w:rPr>
          <w:rFonts w:ascii="Times New Roman" w:hAnsi="Times New Roman"/>
          <w:sz w:val="22"/>
          <w:szCs w:val="22"/>
        </w:rPr>
        <w:t>Circulate freely when students are working individually or in groups (if you cannot hear students or need to see their work); otherwise, move to the side or back of the room during whole-class discussion.</w:t>
      </w:r>
    </w:p>
    <w:p w:rsidR="008E0492" w:rsidRPr="008E0492" w:rsidRDefault="008E0492" w:rsidP="008E0492">
      <w:pPr>
        <w:pStyle w:val="ListParagraph"/>
        <w:numPr>
          <w:ilvl w:val="0"/>
          <w:numId w:val="1"/>
        </w:numPr>
        <w:rPr>
          <w:rFonts w:ascii="Times New Roman" w:hAnsi="Times New Roman"/>
          <w:sz w:val="22"/>
          <w:szCs w:val="22"/>
        </w:rPr>
      </w:pPr>
      <w:r w:rsidRPr="008E0492">
        <w:rPr>
          <w:rFonts w:ascii="Times New Roman" w:hAnsi="Times New Roman"/>
          <w:sz w:val="22"/>
          <w:szCs w:val="22"/>
        </w:rPr>
        <w:t xml:space="preserve">Assume the role of researcher—collecting data on teaching practices—not evaluator.  </w:t>
      </w:r>
    </w:p>
    <w:p w:rsidR="008E0492" w:rsidRPr="008E0492" w:rsidRDefault="008E0492" w:rsidP="008E0492">
      <w:pPr>
        <w:pStyle w:val="ListParagraph"/>
        <w:numPr>
          <w:ilvl w:val="0"/>
          <w:numId w:val="1"/>
        </w:numPr>
        <w:rPr>
          <w:rFonts w:ascii="Times New Roman" w:hAnsi="Times New Roman"/>
          <w:sz w:val="22"/>
          <w:szCs w:val="22"/>
        </w:rPr>
      </w:pPr>
      <w:r w:rsidRPr="008E0492">
        <w:rPr>
          <w:rFonts w:ascii="Times New Roman" w:hAnsi="Times New Roman"/>
          <w:sz w:val="22"/>
          <w:szCs w:val="22"/>
        </w:rPr>
        <w:t>Come to the lessons fresh—just as students do—without the benefit of any advance meeting or detailed information about what to expect.</w:t>
      </w:r>
    </w:p>
    <w:p w:rsidR="008E0492" w:rsidRPr="008E0492" w:rsidRDefault="008E0492" w:rsidP="008E0492">
      <w:pPr>
        <w:pStyle w:val="ListParagraph"/>
        <w:numPr>
          <w:ilvl w:val="0"/>
          <w:numId w:val="1"/>
        </w:numPr>
        <w:rPr>
          <w:rFonts w:ascii="Times New Roman" w:hAnsi="Times New Roman"/>
          <w:sz w:val="22"/>
          <w:szCs w:val="22"/>
        </w:rPr>
      </w:pPr>
      <w:r w:rsidRPr="008E0492">
        <w:rPr>
          <w:rFonts w:ascii="Times New Roman" w:hAnsi="Times New Roman"/>
          <w:sz w:val="22"/>
          <w:szCs w:val="22"/>
        </w:rPr>
        <w:t>Pay attention to student responses, including the level of student engagement, how students are constructing their understanding, strategies t</w:t>
      </w:r>
      <w:r>
        <w:rPr>
          <w:rFonts w:ascii="Times New Roman" w:hAnsi="Times New Roman"/>
          <w:sz w:val="22"/>
          <w:szCs w:val="22"/>
        </w:rPr>
        <w:t xml:space="preserve">hey use to solve problems, and </w:t>
      </w:r>
      <w:r w:rsidRPr="008E0492">
        <w:rPr>
          <w:rFonts w:ascii="Times New Roman" w:hAnsi="Times New Roman"/>
          <w:sz w:val="22"/>
          <w:szCs w:val="22"/>
        </w:rPr>
        <w:t>patterns of student errors.</w:t>
      </w:r>
    </w:p>
    <w:p w:rsidR="008E0492" w:rsidRPr="008E0492" w:rsidRDefault="008E0492" w:rsidP="008E0492">
      <w:pPr>
        <w:pStyle w:val="ListParagraph"/>
        <w:numPr>
          <w:ilvl w:val="0"/>
          <w:numId w:val="1"/>
        </w:numPr>
        <w:rPr>
          <w:rFonts w:ascii="Times New Roman" w:hAnsi="Times New Roman"/>
          <w:sz w:val="22"/>
          <w:szCs w:val="22"/>
        </w:rPr>
      </w:pPr>
      <w:r w:rsidRPr="008E0492">
        <w:rPr>
          <w:rFonts w:ascii="Times New Roman" w:hAnsi="Times New Roman"/>
          <w:sz w:val="22"/>
          <w:szCs w:val="22"/>
        </w:rPr>
        <w:t>Pay attention to instructor-student interactions, including the type of student engagement and how the instructor encourages engagement.</w:t>
      </w:r>
    </w:p>
    <w:p w:rsidR="008E0492" w:rsidRDefault="008E0492" w:rsidP="008E0492">
      <w:pPr>
        <w:pStyle w:val="ListParagraph"/>
        <w:numPr>
          <w:ilvl w:val="0"/>
          <w:numId w:val="1"/>
        </w:numPr>
        <w:rPr>
          <w:rFonts w:ascii="Times New Roman" w:hAnsi="Times New Roman"/>
          <w:sz w:val="22"/>
          <w:szCs w:val="22"/>
        </w:rPr>
      </w:pPr>
      <w:r w:rsidRPr="008E0492">
        <w:rPr>
          <w:rFonts w:ascii="Times New Roman" w:hAnsi="Times New Roman"/>
          <w:sz w:val="22"/>
          <w:szCs w:val="22"/>
        </w:rPr>
        <w:t xml:space="preserve">Pay attention to what the instructor says and does, as </w:t>
      </w:r>
      <w:r>
        <w:rPr>
          <w:rFonts w:ascii="Times New Roman" w:hAnsi="Times New Roman"/>
          <w:sz w:val="22"/>
          <w:szCs w:val="22"/>
        </w:rPr>
        <w:t>well as what he or she asks stu</w:t>
      </w:r>
      <w:r w:rsidRPr="008E0492">
        <w:rPr>
          <w:rFonts w:ascii="Times New Roman" w:hAnsi="Times New Roman"/>
          <w:sz w:val="22"/>
          <w:szCs w:val="22"/>
        </w:rPr>
        <w:t>dents to do.</w:t>
      </w:r>
    </w:p>
    <w:p w:rsidR="008E0492" w:rsidRDefault="008E0492">
      <w:pPr>
        <w:spacing w:after="160" w:line="259" w:lineRule="auto"/>
        <w:rPr>
          <w:rFonts w:ascii="Times New Roman" w:hAnsi="Times New Roman"/>
          <w:sz w:val="22"/>
          <w:szCs w:val="22"/>
        </w:rPr>
      </w:pPr>
      <w:r>
        <w:rPr>
          <w:rFonts w:ascii="Times New Roman" w:hAnsi="Times New Roman"/>
          <w:sz w:val="22"/>
          <w:szCs w:val="22"/>
        </w:rPr>
        <w:br w:type="page"/>
      </w:r>
    </w:p>
    <w:p w:rsidR="008E0492" w:rsidRDefault="008E0492" w:rsidP="008E0492">
      <w:pPr>
        <w:widowControl w:val="0"/>
        <w:jc w:val="center"/>
        <w:rPr>
          <w:rFonts w:ascii="Times New Roman" w:hAnsi="Times New Roman"/>
          <w:sz w:val="28"/>
          <w:szCs w:val="28"/>
          <w14:ligatures w14:val="none"/>
        </w:rPr>
      </w:pPr>
      <w:r>
        <w:rPr>
          <w:rFonts w:ascii="Times New Roman" w:hAnsi="Times New Roman"/>
          <w:b/>
          <w:bCs/>
          <w:smallCaps/>
          <w:sz w:val="28"/>
          <w:szCs w:val="28"/>
          <w14:ligatures w14:val="none"/>
        </w:rPr>
        <w:lastRenderedPageBreak/>
        <w:t>Classroom Observation Tool</w:t>
      </w:r>
    </w:p>
    <w:p w:rsidR="008E0492" w:rsidRDefault="008E0492" w:rsidP="008E0492">
      <w:pPr>
        <w:widowControl w:val="0"/>
        <w:ind w:left="180"/>
        <w:rPr>
          <w:rFonts w:ascii="Times New Roman" w:hAnsi="Times New Roman"/>
          <w:sz w:val="24"/>
          <w:szCs w:val="24"/>
          <w14:ligatures w14:val="none"/>
        </w:rPr>
      </w:pPr>
      <w:r>
        <w:rPr>
          <w:rFonts w:ascii="Times New Roman" w:hAnsi="Times New Roman"/>
          <w:sz w:val="24"/>
          <w:szCs w:val="24"/>
          <w14:ligatures w14:val="none"/>
        </w:rPr>
        <w:t> </w:t>
      </w:r>
    </w:p>
    <w:p w:rsidR="008E0492" w:rsidRDefault="008E0492" w:rsidP="008E0492">
      <w:pPr>
        <w:widowControl w:val="0"/>
        <w:rPr>
          <w:rFonts w:ascii="Times New Roman" w:hAnsi="Times New Roman"/>
          <w:spacing w:val="-1"/>
          <w:sz w:val="22"/>
          <w:szCs w:val="22"/>
          <w14:ligatures w14:val="none"/>
        </w:rPr>
      </w:pPr>
      <w:r>
        <w:rPr>
          <w:rFonts w:ascii="Times New Roman" w:hAnsi="Times New Roman"/>
          <w:spacing w:val="-1"/>
          <w:sz w:val="22"/>
          <w:szCs w:val="22"/>
          <w14:ligatures w14:val="none"/>
        </w:rPr>
        <w:t xml:space="preserve">With the adoption of the College and Career Readiness Standards in Iowa, this tool was introduced to help instructors with the implementation of content standards in their instruction. This same tool can and should be used to measure four out of six instructor standards and is an effective self-assessment, as well as a critical friends group, and monitoring tool. </w:t>
      </w:r>
    </w:p>
    <w:p w:rsidR="008E0492" w:rsidRDefault="008E0492" w:rsidP="008E0492">
      <w:pPr>
        <w:widowControl w:val="0"/>
        <w:rPr>
          <w14:ligatures w14:val="none"/>
        </w:rPr>
      </w:pPr>
      <w:r>
        <w:rPr>
          <w14:ligatures w14:val="none"/>
        </w:rPr>
        <w:t> </w:t>
      </w:r>
    </w:p>
    <w:p w:rsidR="008E0492" w:rsidRDefault="008E0492" w:rsidP="008E0492">
      <w:pPr>
        <w:spacing w:after="0"/>
        <w:rPr>
          <w:rFonts w:ascii="Times New Roman" w:hAnsi="Times New Roman"/>
          <w:color w:val="auto"/>
          <w:kern w:val="0"/>
          <w:sz w:val="24"/>
          <w:szCs w:val="24"/>
          <w14:ligatures w14:val="none"/>
          <w14:cntxtAlts w14:val="0"/>
        </w:rPr>
      </w:pPr>
      <w:bookmarkStart w:id="0" w:name="_GoBack"/>
      <w:bookmarkEnd w:id="0"/>
    </w:p>
    <w:tbl>
      <w:tblPr>
        <w:tblW w:w="9540" w:type="dxa"/>
        <w:tblCellMar>
          <w:left w:w="0" w:type="dxa"/>
          <w:right w:w="0" w:type="dxa"/>
        </w:tblCellMar>
        <w:tblLook w:val="04A0" w:firstRow="1" w:lastRow="0" w:firstColumn="1" w:lastColumn="0" w:noHBand="0" w:noVBand="1"/>
      </w:tblPr>
      <w:tblGrid>
        <w:gridCol w:w="5715"/>
        <w:gridCol w:w="795"/>
        <w:gridCol w:w="3030"/>
      </w:tblGrid>
      <w:tr w:rsidR="008E0492" w:rsidTr="008E0492">
        <w:trPr>
          <w:trHeight w:val="544"/>
        </w:trPr>
        <w:tc>
          <w:tcPr>
            <w:tcW w:w="5715" w:type="dxa"/>
            <w:tcBorders>
              <w:top w:val="single" w:sz="4" w:space="0" w:color="330033"/>
              <w:left w:val="single" w:sz="4" w:space="0" w:color="330033"/>
              <w:bottom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b/>
                <w:bCs/>
                <w:sz w:val="22"/>
                <w:szCs w:val="22"/>
                <w14:ligatures w14:val="none"/>
              </w:rPr>
            </w:pPr>
            <w:r>
              <w:rPr>
                <w:rFonts w:ascii="Times New Roman" w:hAnsi="Times New Roman"/>
                <w:b/>
                <w:bCs/>
                <w:sz w:val="22"/>
                <w:szCs w:val="22"/>
                <w14:ligatures w14:val="none"/>
              </w:rPr>
              <w:t>Effective Teaching and Learning Practices</w:t>
            </w:r>
          </w:p>
        </w:tc>
        <w:tc>
          <w:tcPr>
            <w:tcW w:w="3825" w:type="dxa"/>
            <w:gridSpan w:val="2"/>
            <w:tcBorders>
              <w:top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14:ligatures w14:val="none"/>
              </w:rPr>
            </w:pPr>
            <w:r>
              <w:rPr>
                <w:rFonts w:ascii="Times New Roman" w:hAnsi="Times New Roman"/>
                <w14:ligatures w14:val="none"/>
              </w:rPr>
              <w:t>E=Evident</w:t>
            </w:r>
          </w:p>
          <w:p w:rsidR="008E0492" w:rsidRDefault="008E0492">
            <w:pPr>
              <w:widowControl w:val="0"/>
              <w:rPr>
                <w:rFonts w:ascii="Times New Roman" w:hAnsi="Times New Roman"/>
                <w:sz w:val="22"/>
                <w:szCs w:val="22"/>
                <w14:ligatures w14:val="none"/>
              </w:rPr>
            </w:pPr>
            <w:r>
              <w:rPr>
                <w:rFonts w:ascii="Times New Roman" w:hAnsi="Times New Roman"/>
                <w14:ligatures w14:val="none"/>
              </w:rPr>
              <w:t xml:space="preserve">NFE=Not Fully Evident </w:t>
            </w:r>
          </w:p>
        </w:tc>
      </w:tr>
      <w:tr w:rsidR="008E0492" w:rsidTr="008E0492">
        <w:trPr>
          <w:trHeight w:val="631"/>
        </w:trPr>
        <w:tc>
          <w:tcPr>
            <w:tcW w:w="5715" w:type="dxa"/>
            <w:tcBorders>
              <w:top w:val="single" w:sz="4" w:space="0" w:color="330033"/>
              <w:left w:val="single" w:sz="4" w:space="0" w:color="330033"/>
              <w:bottom w:val="single" w:sz="4" w:space="0" w:color="330033"/>
              <w:right w:val="single" w:sz="4" w:space="0" w:color="330033"/>
            </w:tcBorders>
            <w:shd w:val="clear" w:color="auto" w:fill="D9D9D9"/>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sz w:val="22"/>
                <w:szCs w:val="22"/>
                <w14:ligatures w14:val="none"/>
              </w:rPr>
            </w:pPr>
            <w:r>
              <w:rPr>
                <w:rFonts w:ascii="Times New Roman" w:hAnsi="Times New Roman"/>
                <w:sz w:val="22"/>
                <w:szCs w:val="22"/>
              </w:rPr>
              <w:t>1.</w:t>
            </w:r>
            <w:r>
              <w:t> </w:t>
            </w:r>
            <w:r>
              <w:rPr>
                <w:rFonts w:ascii="Times New Roman" w:hAnsi="Times New Roman"/>
                <w:sz w:val="22"/>
                <w:szCs w:val="22"/>
                <w14:ligatures w14:val="none"/>
              </w:rPr>
              <w:t>Curriculum content of the lesson is aligned to the demands of the standards</w:t>
            </w:r>
            <w:r>
              <w:rPr>
                <w:rFonts w:ascii="Times New Roman" w:hAnsi="Times New Roman"/>
                <w:sz w:val="15"/>
                <w:szCs w:val="15"/>
                <w:vertAlign w:val="superscript"/>
                <w14:ligatures w14:val="none"/>
              </w:rPr>
              <w:t>1</w:t>
            </w:r>
            <w:r>
              <w:rPr>
                <w:rFonts w:ascii="Times New Roman" w:hAnsi="Times New Roman"/>
                <w:sz w:val="22"/>
                <w:szCs w:val="22"/>
                <w14:ligatures w14:val="none"/>
              </w:rPr>
              <w:t>. (Standards 2 and 5)</w:t>
            </w:r>
          </w:p>
        </w:tc>
        <w:tc>
          <w:tcPr>
            <w:tcW w:w="795" w:type="dxa"/>
            <w:tcBorders>
              <w:top w:val="single" w:sz="4" w:space="0" w:color="330033"/>
              <w:left w:val="single" w:sz="4" w:space="0" w:color="330033"/>
              <w:bottom w:val="single" w:sz="4" w:space="0" w:color="330033"/>
              <w:right w:val="single" w:sz="4" w:space="0" w:color="330033"/>
            </w:tcBorders>
            <w:shd w:val="clear" w:color="auto" w:fill="D9D9D9"/>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E/NFE</w:t>
            </w:r>
          </w:p>
        </w:tc>
        <w:tc>
          <w:tcPr>
            <w:tcW w:w="3030" w:type="dxa"/>
            <w:tcBorders>
              <w:top w:val="single" w:sz="4" w:space="0" w:color="330033"/>
              <w:left w:val="single" w:sz="4" w:space="0" w:color="330033"/>
              <w:bottom w:val="single" w:sz="4" w:space="0" w:color="330033"/>
              <w:right w:val="single" w:sz="4" w:space="0" w:color="330033"/>
            </w:tcBorders>
            <w:shd w:val="clear" w:color="auto" w:fill="D9D9D9"/>
            <w:tcMar>
              <w:top w:w="58" w:type="dxa"/>
              <w:left w:w="58" w:type="dxa"/>
              <w:bottom w:w="58" w:type="dxa"/>
              <w:right w:w="58" w:type="dxa"/>
            </w:tcMar>
            <w:vAlign w:val="center"/>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Evidence</w:t>
            </w:r>
          </w:p>
        </w:tc>
      </w:tr>
      <w:tr w:rsidR="008E0492" w:rsidTr="008E0492">
        <w:trPr>
          <w:trHeight w:val="539"/>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a.</w:t>
            </w:r>
            <w:r>
              <w:t> </w:t>
            </w:r>
            <w:r>
              <w:rPr>
                <w:rFonts w:ascii="Times New Roman" w:hAnsi="Times New Roman"/>
                <w14:ligatures w14:val="none"/>
              </w:rPr>
              <w:t>Instructor presents lesson clearly reflecting the concepts/skills of one or more of the standards.</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541"/>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b.</w:t>
            </w:r>
            <w:r>
              <w:t> </w:t>
            </w:r>
            <w:r>
              <w:rPr>
                <w:rFonts w:ascii="Times New Roman" w:hAnsi="Times New Roman"/>
                <w14:ligatures w14:val="none"/>
              </w:rPr>
              <w:t xml:space="preserve">Instructor outlines a </w:t>
            </w:r>
            <w:r w:rsidR="00F126FF">
              <w:rPr>
                <w:rFonts w:ascii="Times New Roman" w:hAnsi="Times New Roman"/>
                <w14:ligatures w14:val="none"/>
              </w:rPr>
              <w:t>well-defined</w:t>
            </w:r>
            <w:r>
              <w:rPr>
                <w:rFonts w:ascii="Times New Roman" w:hAnsi="Times New Roman"/>
                <w14:ligatures w14:val="none"/>
              </w:rPr>
              <w:t xml:space="preserve"> standards-based lesson objective stated in terms of the desired student learning outcomes.</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378"/>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c.</w:t>
            </w:r>
            <w:r>
              <w:t> </w:t>
            </w:r>
            <w:r>
              <w:rPr>
                <w:rFonts w:ascii="Times New Roman" w:hAnsi="Times New Roman"/>
                <w14:ligatures w14:val="none"/>
              </w:rPr>
              <w:t xml:space="preserve">Students use resources directly related to the targeted standards. </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631"/>
        </w:trPr>
        <w:tc>
          <w:tcPr>
            <w:tcW w:w="5715" w:type="dxa"/>
            <w:tcBorders>
              <w:top w:val="single" w:sz="4" w:space="0" w:color="330033"/>
              <w:left w:val="single" w:sz="4" w:space="0" w:color="330033"/>
              <w:bottom w:val="single" w:sz="4" w:space="0" w:color="330033"/>
              <w:right w:val="single" w:sz="4" w:space="0" w:color="330033"/>
            </w:tcBorders>
            <w:shd w:val="clear" w:color="auto" w:fill="D9D9D9"/>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sz w:val="22"/>
                <w:szCs w:val="22"/>
                <w14:ligatures w14:val="none"/>
              </w:rPr>
            </w:pPr>
            <w:r>
              <w:rPr>
                <w:rFonts w:ascii="Times New Roman" w:hAnsi="Times New Roman"/>
                <w:sz w:val="22"/>
                <w:szCs w:val="22"/>
              </w:rPr>
              <w:t>2.</w:t>
            </w:r>
            <w:r>
              <w:t> </w:t>
            </w:r>
            <w:r>
              <w:rPr>
                <w:rFonts w:ascii="Times New Roman" w:hAnsi="Times New Roman"/>
                <w:sz w:val="22"/>
                <w:szCs w:val="22"/>
                <w14:ligatures w14:val="none"/>
              </w:rPr>
              <w:t>Cognitive level of learning activities are aligned to the demands of the standards. (Standards 2 and 5)</w:t>
            </w:r>
          </w:p>
        </w:tc>
        <w:tc>
          <w:tcPr>
            <w:tcW w:w="795" w:type="dxa"/>
            <w:tcBorders>
              <w:top w:val="single" w:sz="4" w:space="0" w:color="330033"/>
              <w:left w:val="single" w:sz="4" w:space="0" w:color="330033"/>
              <w:bottom w:val="single" w:sz="4" w:space="0" w:color="330033"/>
              <w:right w:val="single" w:sz="4" w:space="0" w:color="330033"/>
            </w:tcBorders>
            <w:shd w:val="clear" w:color="auto" w:fill="D9D9D9"/>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E/NFE</w:t>
            </w:r>
          </w:p>
        </w:tc>
        <w:tc>
          <w:tcPr>
            <w:tcW w:w="3030" w:type="dxa"/>
            <w:tcBorders>
              <w:top w:val="single" w:sz="4" w:space="0" w:color="330033"/>
              <w:left w:val="single" w:sz="4" w:space="0" w:color="330033"/>
              <w:bottom w:val="single" w:sz="4" w:space="0" w:color="330033"/>
              <w:right w:val="single" w:sz="4" w:space="0" w:color="330033"/>
            </w:tcBorders>
            <w:shd w:val="clear" w:color="auto" w:fill="D9D9D9"/>
            <w:tcMar>
              <w:top w:w="58" w:type="dxa"/>
              <w:left w:w="58" w:type="dxa"/>
              <w:bottom w:w="58" w:type="dxa"/>
              <w:right w:w="58" w:type="dxa"/>
            </w:tcMar>
            <w:vAlign w:val="center"/>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Evidence</w:t>
            </w:r>
          </w:p>
        </w:tc>
      </w:tr>
      <w:tr w:rsidR="008E0492" w:rsidTr="008E0492">
        <w:trPr>
          <w:trHeight w:val="378"/>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a.</w:t>
            </w:r>
            <w:r>
              <w:t> </w:t>
            </w:r>
            <w:r>
              <w:rPr>
                <w:rFonts w:ascii="Times New Roman" w:hAnsi="Times New Roman"/>
                <w14:ligatures w14:val="none"/>
              </w:rPr>
              <w:t>Instructor poses questions that stimulate student thinking beyond recall.</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539"/>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b.</w:t>
            </w:r>
            <w:r>
              <w:t> </w:t>
            </w:r>
            <w:r>
              <w:rPr>
                <w:rFonts w:ascii="Times New Roman" w:hAnsi="Times New Roman"/>
                <w14:ligatures w14:val="none"/>
              </w:rPr>
              <w:t>Instructor allows appropriate wait-time (3 or more seconds) after posing questions.</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378"/>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c.</w:t>
            </w:r>
            <w:r>
              <w:t> </w:t>
            </w:r>
            <w:r>
              <w:rPr>
                <w:rFonts w:ascii="Times New Roman" w:hAnsi="Times New Roman"/>
                <w14:ligatures w14:val="none"/>
              </w:rPr>
              <w:t>Instructor asks students to elaborate on and justify their answers.</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539"/>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d.</w:t>
            </w:r>
            <w:r>
              <w:t> </w:t>
            </w:r>
            <w:r>
              <w:rPr>
                <w:rFonts w:ascii="Times New Roman" w:hAnsi="Times New Roman"/>
                <w14:ligatures w14:val="none"/>
              </w:rPr>
              <w:t>Instructor activates students’ metacognitive skills (e.g. models strategies, inquires about students’ strategies).</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539"/>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e.</w:t>
            </w:r>
            <w:r>
              <w:t> </w:t>
            </w:r>
            <w:r>
              <w:rPr>
                <w:rFonts w:ascii="Times New Roman" w:hAnsi="Times New Roman"/>
                <w14:ligatures w14:val="none"/>
              </w:rPr>
              <w:t xml:space="preserve">Students wok on assignments reflecting the highest demands posed by the standards targeted by the lesson. </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636"/>
        </w:trPr>
        <w:tc>
          <w:tcPr>
            <w:tcW w:w="5715" w:type="dxa"/>
            <w:tcBorders>
              <w:top w:val="single" w:sz="4" w:space="0" w:color="330033"/>
              <w:left w:val="single" w:sz="4" w:space="0" w:color="330033"/>
              <w:bottom w:val="single" w:sz="4" w:space="0" w:color="330033"/>
              <w:right w:val="single" w:sz="4" w:space="0" w:color="330033"/>
            </w:tcBorders>
            <w:shd w:val="clear" w:color="auto" w:fill="D9D9D9"/>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sz w:val="22"/>
                <w:szCs w:val="22"/>
                <w14:ligatures w14:val="none"/>
              </w:rPr>
            </w:pPr>
            <w:r>
              <w:rPr>
                <w:rFonts w:ascii="Times New Roman" w:hAnsi="Times New Roman"/>
                <w:sz w:val="22"/>
                <w:szCs w:val="22"/>
              </w:rPr>
              <w:t>3.</w:t>
            </w:r>
            <w:r>
              <w:t> </w:t>
            </w:r>
            <w:r>
              <w:rPr>
                <w:rFonts w:ascii="Times New Roman" w:hAnsi="Times New Roman"/>
                <w:sz w:val="22"/>
                <w:szCs w:val="22"/>
                <w14:ligatures w14:val="none"/>
              </w:rPr>
              <w:t>Standards are translated into lesson content relevant to adult students.  (Standards 2, 5 and 6)</w:t>
            </w:r>
          </w:p>
        </w:tc>
        <w:tc>
          <w:tcPr>
            <w:tcW w:w="795" w:type="dxa"/>
            <w:tcBorders>
              <w:top w:val="single" w:sz="4" w:space="0" w:color="330033"/>
              <w:left w:val="single" w:sz="4" w:space="0" w:color="330033"/>
              <w:bottom w:val="single" w:sz="4" w:space="0" w:color="330033"/>
              <w:right w:val="single" w:sz="4" w:space="0" w:color="330033"/>
            </w:tcBorders>
            <w:shd w:val="clear" w:color="auto" w:fill="D9D9D9"/>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E/NFE</w:t>
            </w:r>
          </w:p>
        </w:tc>
        <w:tc>
          <w:tcPr>
            <w:tcW w:w="3030" w:type="dxa"/>
            <w:tcBorders>
              <w:top w:val="single" w:sz="4" w:space="0" w:color="330033"/>
              <w:left w:val="single" w:sz="4" w:space="0" w:color="330033"/>
              <w:bottom w:val="single" w:sz="4" w:space="0" w:color="330033"/>
              <w:right w:val="single" w:sz="4" w:space="0" w:color="330033"/>
            </w:tcBorders>
            <w:shd w:val="clear" w:color="auto" w:fill="D9D9D9"/>
            <w:tcMar>
              <w:top w:w="58" w:type="dxa"/>
              <w:left w:w="58" w:type="dxa"/>
              <w:bottom w:w="58" w:type="dxa"/>
              <w:right w:w="58" w:type="dxa"/>
            </w:tcMar>
            <w:vAlign w:val="center"/>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Evidence</w:t>
            </w:r>
          </w:p>
        </w:tc>
      </w:tr>
      <w:tr w:rsidR="008E0492" w:rsidTr="008E0492">
        <w:trPr>
          <w:trHeight w:val="539"/>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a.</w:t>
            </w:r>
            <w:r>
              <w:t> </w:t>
            </w:r>
            <w:r>
              <w:rPr>
                <w:rFonts w:ascii="Times New Roman" w:hAnsi="Times New Roman"/>
                <w14:ligatures w14:val="none"/>
              </w:rPr>
              <w:t>Instructor ties standards-based lesson to students’ goals, interests, or needs.</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746"/>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b.</w:t>
            </w:r>
            <w:r>
              <w:t> </w:t>
            </w:r>
            <w:r>
              <w:rPr>
                <w:rFonts w:ascii="Times New Roman" w:hAnsi="Times New Roman"/>
                <w14:ligatures w14:val="none"/>
              </w:rPr>
              <w:t>Students actively participate in the lesson through class discussions, group projects, etc., instead of doing solitary seatwork or listening to extended lectures.</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539"/>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c.</w:t>
            </w:r>
            <w:r>
              <w:t> </w:t>
            </w:r>
            <w:r>
              <w:rPr>
                <w:rFonts w:ascii="Times New Roman" w:hAnsi="Times New Roman"/>
                <w14:ligatures w14:val="none"/>
              </w:rPr>
              <w:t xml:space="preserve">Students have varied opportunities (beyond worksheets) to apply new learning in authentic or practical adult-oriented contexts. </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544"/>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d.</w:t>
            </w:r>
            <w:r>
              <w:t> </w:t>
            </w:r>
            <w:r>
              <w:rPr>
                <w:rFonts w:ascii="Times New Roman" w:hAnsi="Times New Roman"/>
                <w14:ligatures w14:val="none"/>
              </w:rPr>
              <w:t xml:space="preserve">Students have access to technology in learning or for use in application in adult-oriented contexts. </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r>
    </w:tbl>
    <w:p w:rsidR="008E0492" w:rsidRDefault="008E0492" w:rsidP="008E0492">
      <w:pPr>
        <w:spacing w:after="0"/>
        <w:rPr>
          <w:rFonts w:ascii="Times New Roman" w:hAnsi="Times New Roman"/>
          <w:color w:val="auto"/>
          <w:kern w:val="0"/>
          <w:sz w:val="24"/>
          <w:szCs w:val="24"/>
          <w14:ligatures w14:val="none"/>
          <w14:cntxtAlts w14:val="0"/>
        </w:rPr>
      </w:pPr>
    </w:p>
    <w:tbl>
      <w:tblPr>
        <w:tblW w:w="9540" w:type="dxa"/>
        <w:tblCellMar>
          <w:left w:w="0" w:type="dxa"/>
          <w:right w:w="0" w:type="dxa"/>
        </w:tblCellMar>
        <w:tblLook w:val="04A0" w:firstRow="1" w:lastRow="0" w:firstColumn="1" w:lastColumn="0" w:noHBand="0" w:noVBand="1"/>
      </w:tblPr>
      <w:tblGrid>
        <w:gridCol w:w="5715"/>
        <w:gridCol w:w="795"/>
        <w:gridCol w:w="3030"/>
      </w:tblGrid>
      <w:tr w:rsidR="008E0492" w:rsidTr="008E0492">
        <w:trPr>
          <w:trHeight w:val="544"/>
        </w:trPr>
        <w:tc>
          <w:tcPr>
            <w:tcW w:w="5715" w:type="dxa"/>
            <w:tcBorders>
              <w:top w:val="single" w:sz="4" w:space="0" w:color="330033"/>
              <w:left w:val="single" w:sz="4" w:space="0" w:color="330033"/>
              <w:bottom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b/>
                <w:bCs/>
                <w:sz w:val="22"/>
                <w:szCs w:val="22"/>
                <w14:ligatures w14:val="none"/>
              </w:rPr>
            </w:pPr>
            <w:r>
              <w:rPr>
                <w:rFonts w:ascii="Times New Roman" w:hAnsi="Times New Roman"/>
                <w:b/>
                <w:bCs/>
                <w:sz w:val="22"/>
                <w:szCs w:val="22"/>
                <w14:ligatures w14:val="none"/>
              </w:rPr>
              <w:t>Effective Teaching and Learning Practices</w:t>
            </w:r>
          </w:p>
        </w:tc>
        <w:tc>
          <w:tcPr>
            <w:tcW w:w="3825" w:type="dxa"/>
            <w:gridSpan w:val="2"/>
            <w:tcBorders>
              <w:top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14:ligatures w14:val="none"/>
              </w:rPr>
            </w:pPr>
            <w:r>
              <w:rPr>
                <w:rFonts w:ascii="Times New Roman" w:hAnsi="Times New Roman"/>
                <w14:ligatures w14:val="none"/>
              </w:rPr>
              <w:t>E=Evident</w:t>
            </w:r>
          </w:p>
          <w:p w:rsidR="008E0492" w:rsidRDefault="008E0492">
            <w:pPr>
              <w:widowControl w:val="0"/>
              <w:rPr>
                <w:rFonts w:ascii="Times New Roman" w:hAnsi="Times New Roman"/>
                <w:sz w:val="22"/>
                <w:szCs w:val="22"/>
                <w14:ligatures w14:val="none"/>
              </w:rPr>
            </w:pPr>
            <w:r>
              <w:rPr>
                <w:rFonts w:ascii="Times New Roman" w:hAnsi="Times New Roman"/>
                <w14:ligatures w14:val="none"/>
              </w:rPr>
              <w:t xml:space="preserve">NFE=Not Fully Evident </w:t>
            </w:r>
          </w:p>
        </w:tc>
      </w:tr>
      <w:tr w:rsidR="008E0492" w:rsidTr="008E0492">
        <w:trPr>
          <w:trHeight w:val="631"/>
        </w:trPr>
        <w:tc>
          <w:tcPr>
            <w:tcW w:w="5715" w:type="dxa"/>
            <w:tcBorders>
              <w:top w:val="single" w:sz="4" w:space="0" w:color="330033"/>
              <w:left w:val="single" w:sz="4" w:space="0" w:color="330033"/>
              <w:bottom w:val="single" w:sz="4" w:space="0" w:color="330033"/>
              <w:right w:val="single" w:sz="4" w:space="0" w:color="330033"/>
            </w:tcBorders>
            <w:shd w:val="clear" w:color="auto" w:fill="D9D9D9"/>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sz w:val="22"/>
                <w:szCs w:val="22"/>
                <w14:ligatures w14:val="none"/>
              </w:rPr>
            </w:pPr>
            <w:r>
              <w:rPr>
                <w:rFonts w:ascii="Times New Roman" w:hAnsi="Times New Roman"/>
                <w:sz w:val="22"/>
                <w:szCs w:val="22"/>
              </w:rPr>
              <w:t>4.</w:t>
            </w:r>
            <w:r>
              <w:t> </w:t>
            </w:r>
            <w:r>
              <w:rPr>
                <w:rFonts w:ascii="Times New Roman" w:hAnsi="Times New Roman"/>
                <w:sz w:val="22"/>
                <w:szCs w:val="22"/>
                <w14:ligatures w14:val="none"/>
              </w:rPr>
              <w:t>Standards are addressed by a coherent progression of learning.  (Standard 5)</w:t>
            </w:r>
          </w:p>
        </w:tc>
        <w:tc>
          <w:tcPr>
            <w:tcW w:w="795" w:type="dxa"/>
            <w:tcBorders>
              <w:top w:val="single" w:sz="4" w:space="0" w:color="330033"/>
              <w:left w:val="single" w:sz="4" w:space="0" w:color="330033"/>
              <w:bottom w:val="single" w:sz="4" w:space="0" w:color="330033"/>
              <w:right w:val="single" w:sz="4" w:space="0" w:color="330033"/>
            </w:tcBorders>
            <w:shd w:val="clear" w:color="auto" w:fill="D9D9D9"/>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E/NFE</w:t>
            </w:r>
          </w:p>
        </w:tc>
        <w:tc>
          <w:tcPr>
            <w:tcW w:w="3030" w:type="dxa"/>
            <w:tcBorders>
              <w:top w:val="single" w:sz="4" w:space="0" w:color="330033"/>
              <w:left w:val="single" w:sz="4" w:space="0" w:color="330033"/>
              <w:bottom w:val="single" w:sz="4" w:space="0" w:color="330033"/>
              <w:right w:val="single" w:sz="4" w:space="0" w:color="330033"/>
            </w:tcBorders>
            <w:shd w:val="clear" w:color="auto" w:fill="D9D9D9"/>
            <w:tcMar>
              <w:top w:w="58" w:type="dxa"/>
              <w:left w:w="58" w:type="dxa"/>
              <w:bottom w:w="58" w:type="dxa"/>
              <w:right w:w="58" w:type="dxa"/>
            </w:tcMar>
            <w:vAlign w:val="center"/>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Evidence</w:t>
            </w:r>
          </w:p>
        </w:tc>
      </w:tr>
      <w:tr w:rsidR="008E0492" w:rsidTr="008E0492">
        <w:trPr>
          <w:trHeight w:val="539"/>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a.</w:t>
            </w:r>
            <w:r>
              <w:t> </w:t>
            </w:r>
            <w:r>
              <w:rPr>
                <w:rFonts w:ascii="Times New Roman" w:hAnsi="Times New Roman"/>
                <w14:ligatures w14:val="none"/>
              </w:rPr>
              <w:t>Instructor explicitly links lesson content to previous lessons or what students already know.</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539"/>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b.</w:t>
            </w:r>
            <w:r>
              <w:t> </w:t>
            </w:r>
            <w:r>
              <w:rPr>
                <w:rFonts w:ascii="Times New Roman" w:hAnsi="Times New Roman"/>
                <w14:ligatures w14:val="none"/>
              </w:rPr>
              <w:t>Students have prerequisite knowledge/skills to understand lesson content.</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539"/>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c.</w:t>
            </w:r>
            <w:r>
              <w:t> </w:t>
            </w:r>
            <w:r>
              <w:rPr>
                <w:rFonts w:ascii="Times New Roman" w:hAnsi="Times New Roman"/>
                <w14:ligatures w14:val="none"/>
              </w:rPr>
              <w:t>Instructor incorporates standards in a lesson in a manner that builds on their natural connections.</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1072"/>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d.</w:t>
            </w:r>
            <w:r>
              <w:t> </w:t>
            </w:r>
            <w:r>
              <w:rPr>
                <w:rFonts w:ascii="Times New Roman" w:hAnsi="Times New Roman"/>
                <w14:ligatures w14:val="none"/>
              </w:rPr>
              <w:t>Instructor closes lesson by:</w:t>
            </w:r>
          </w:p>
          <w:p w:rsidR="008E0492" w:rsidRDefault="008E0492">
            <w:pPr>
              <w:widowControl w:val="0"/>
              <w:ind w:left="360" w:hanging="360"/>
              <w:rPr>
                <w:rFonts w:ascii="Times New Roman" w:hAnsi="Times New Roman"/>
                <w14:ligatures w14:val="none"/>
              </w:rPr>
            </w:pPr>
            <w:r>
              <w:rPr>
                <w:rFonts w:ascii="Symbol" w:hAnsi="Symbol"/>
                <w:sz w:val="20"/>
                <w:szCs w:val="20"/>
              </w:rPr>
              <w:t></w:t>
            </w:r>
            <w:r>
              <w:t> </w:t>
            </w:r>
            <w:r>
              <w:rPr>
                <w:rFonts w:ascii="Times New Roman" w:hAnsi="Times New Roman"/>
                <w14:ligatures w14:val="none"/>
              </w:rPr>
              <w:t>Reviewing lesson objectives;</w:t>
            </w:r>
          </w:p>
          <w:p w:rsidR="008E0492" w:rsidRDefault="008E0492">
            <w:pPr>
              <w:widowControl w:val="0"/>
              <w:ind w:left="360" w:hanging="360"/>
              <w:rPr>
                <w:rFonts w:ascii="Times New Roman" w:hAnsi="Times New Roman"/>
                <w14:ligatures w14:val="none"/>
              </w:rPr>
            </w:pPr>
            <w:r>
              <w:rPr>
                <w:rFonts w:ascii="Symbol" w:hAnsi="Symbol"/>
                <w:sz w:val="20"/>
                <w:szCs w:val="20"/>
              </w:rPr>
              <w:t></w:t>
            </w:r>
            <w:r>
              <w:t> </w:t>
            </w:r>
            <w:r>
              <w:rPr>
                <w:rFonts w:ascii="Times New Roman" w:hAnsi="Times New Roman"/>
                <w14:ligatures w14:val="none"/>
              </w:rPr>
              <w:t>Summarizing student learning; and</w:t>
            </w:r>
          </w:p>
          <w:p w:rsidR="008E0492" w:rsidRDefault="008E0492">
            <w:pPr>
              <w:widowControl w:val="0"/>
              <w:ind w:left="360" w:hanging="360"/>
              <w:rPr>
                <w:rFonts w:ascii="Times New Roman" w:hAnsi="Times New Roman"/>
                <w14:ligatures w14:val="none"/>
              </w:rPr>
            </w:pPr>
            <w:r>
              <w:rPr>
                <w:rFonts w:ascii="Symbol" w:hAnsi="Symbol"/>
                <w:sz w:val="20"/>
                <w:szCs w:val="20"/>
              </w:rPr>
              <w:t></w:t>
            </w:r>
            <w:r>
              <w:t> </w:t>
            </w:r>
            <w:r>
              <w:rPr>
                <w:rFonts w:ascii="Times New Roman" w:hAnsi="Times New Roman"/>
                <w14:ligatures w14:val="none"/>
              </w:rPr>
              <w:t>Previewing how the next lesson builds on that learning.</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631"/>
        </w:trPr>
        <w:tc>
          <w:tcPr>
            <w:tcW w:w="5715" w:type="dxa"/>
            <w:tcBorders>
              <w:top w:val="single" w:sz="4" w:space="0" w:color="330033"/>
              <w:left w:val="single" w:sz="4" w:space="0" w:color="330033"/>
              <w:bottom w:val="single" w:sz="4" w:space="0" w:color="330033"/>
              <w:right w:val="single" w:sz="4" w:space="0" w:color="330033"/>
            </w:tcBorders>
            <w:shd w:val="clear" w:color="auto" w:fill="D9D9D9"/>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sz w:val="22"/>
                <w:szCs w:val="22"/>
                <w14:ligatures w14:val="none"/>
              </w:rPr>
            </w:pPr>
            <w:r>
              <w:rPr>
                <w:rFonts w:ascii="Times New Roman" w:hAnsi="Times New Roman"/>
                <w:sz w:val="22"/>
                <w:szCs w:val="22"/>
              </w:rPr>
              <w:t>5.</w:t>
            </w:r>
            <w:r>
              <w:t> </w:t>
            </w:r>
            <w:r>
              <w:rPr>
                <w:rFonts w:ascii="Times New Roman" w:hAnsi="Times New Roman"/>
                <w:sz w:val="22"/>
                <w:szCs w:val="22"/>
                <w14:ligatures w14:val="none"/>
              </w:rPr>
              <w:t>Students’ level of understanding is assessed during the lesson and instruction is adjusted accordingly. (Standard 3)</w:t>
            </w:r>
          </w:p>
        </w:tc>
        <w:tc>
          <w:tcPr>
            <w:tcW w:w="795" w:type="dxa"/>
            <w:tcBorders>
              <w:top w:val="single" w:sz="4" w:space="0" w:color="330033"/>
              <w:left w:val="single" w:sz="4" w:space="0" w:color="330033"/>
              <w:bottom w:val="single" w:sz="4" w:space="0" w:color="330033"/>
              <w:right w:val="single" w:sz="4" w:space="0" w:color="330033"/>
            </w:tcBorders>
            <w:shd w:val="clear" w:color="auto" w:fill="D9D9D9"/>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E/NFE</w:t>
            </w:r>
          </w:p>
        </w:tc>
        <w:tc>
          <w:tcPr>
            <w:tcW w:w="3030" w:type="dxa"/>
            <w:tcBorders>
              <w:top w:val="single" w:sz="4" w:space="0" w:color="330033"/>
              <w:left w:val="single" w:sz="4" w:space="0" w:color="330033"/>
              <w:bottom w:val="single" w:sz="4" w:space="0" w:color="330033"/>
              <w:right w:val="single" w:sz="4" w:space="0" w:color="330033"/>
            </w:tcBorders>
            <w:shd w:val="clear" w:color="auto" w:fill="D9D9D9"/>
            <w:tcMar>
              <w:top w:w="58" w:type="dxa"/>
              <w:left w:w="58" w:type="dxa"/>
              <w:bottom w:w="58" w:type="dxa"/>
              <w:right w:w="58" w:type="dxa"/>
            </w:tcMar>
            <w:vAlign w:val="center"/>
            <w:hideMark/>
          </w:tcPr>
          <w:p w:rsidR="008E0492" w:rsidRDefault="008E0492">
            <w:pPr>
              <w:widowControl w:val="0"/>
              <w:jc w:val="center"/>
              <w:rPr>
                <w:rFonts w:ascii="Times New Roman" w:hAnsi="Times New Roman"/>
                <w:sz w:val="22"/>
                <w:szCs w:val="22"/>
                <w14:ligatures w14:val="none"/>
              </w:rPr>
            </w:pPr>
            <w:r>
              <w:rPr>
                <w:rFonts w:ascii="Times New Roman" w:hAnsi="Times New Roman"/>
                <w:sz w:val="22"/>
                <w:szCs w:val="22"/>
                <w14:ligatures w14:val="none"/>
              </w:rPr>
              <w:t>Evidence</w:t>
            </w:r>
          </w:p>
        </w:tc>
      </w:tr>
      <w:tr w:rsidR="008E0492" w:rsidTr="008E0492">
        <w:trPr>
          <w:trHeight w:val="746"/>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a.</w:t>
            </w:r>
            <w:r>
              <w:t> </w:t>
            </w:r>
            <w:r>
              <w:rPr>
                <w:rFonts w:ascii="Times New Roman" w:hAnsi="Times New Roman"/>
                <w14:ligatures w14:val="none"/>
              </w:rPr>
              <w:t>Instructor regularly checks whether students are mastering standards-based lesson content (e.g., circulates to check on students’ work, monitors verbal responses).</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539"/>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b.</w:t>
            </w:r>
            <w:r>
              <w:t> </w:t>
            </w:r>
            <w:r>
              <w:rPr>
                <w:rFonts w:ascii="Times New Roman" w:hAnsi="Times New Roman"/>
                <w14:ligatures w14:val="none"/>
              </w:rPr>
              <w:t>Instructor provided students with prompt, specific feedback to correct misunderstanding and reinforce learning.</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539"/>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c.</w:t>
            </w:r>
            <w:r>
              <w:t> </w:t>
            </w:r>
            <w:r>
              <w:rPr>
                <w:rFonts w:ascii="Times New Roman" w:hAnsi="Times New Roman"/>
                <w14:ligatures w14:val="none"/>
              </w:rPr>
              <w:t>Students signal understanding of lesson content before instructor introduces new idea.</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746"/>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d.</w:t>
            </w:r>
            <w:r>
              <w:t> </w:t>
            </w:r>
            <w:r>
              <w:rPr>
                <w:rFonts w:ascii="Times New Roman" w:hAnsi="Times New Roman"/>
                <w14:ligatures w14:val="none"/>
              </w:rPr>
              <w:t>Instructor provides supplemental instructions for students who show that they need it (e.g., individualized or peer tutoring, re-teaching, review of basic skills).</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543"/>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e.</w:t>
            </w:r>
            <w:r>
              <w:t> </w:t>
            </w:r>
            <w:r>
              <w:rPr>
                <w:rFonts w:ascii="Times New Roman" w:hAnsi="Times New Roman"/>
                <w14:ligatures w14:val="none"/>
              </w:rPr>
              <w:t>Instructor provides extension activities for students who complete classwork, instead of leaving them idle or unchallenged.</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r>
      <w:tr w:rsidR="008E0492" w:rsidTr="008E0492">
        <w:trPr>
          <w:trHeight w:val="383"/>
        </w:trPr>
        <w:tc>
          <w:tcPr>
            <w:tcW w:w="571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bottom"/>
            <w:hideMark/>
          </w:tcPr>
          <w:p w:rsidR="008E0492" w:rsidRDefault="008E0492">
            <w:pPr>
              <w:widowControl w:val="0"/>
              <w:ind w:left="360" w:hanging="360"/>
              <w:rPr>
                <w:rFonts w:ascii="Times New Roman" w:hAnsi="Times New Roman"/>
                <w14:ligatures w14:val="none"/>
              </w:rPr>
            </w:pPr>
            <w:r>
              <w:rPr>
                <w:rFonts w:ascii="Times New Roman" w:hAnsi="Times New Roman"/>
              </w:rPr>
              <w:t>f.</w:t>
            </w:r>
            <w:r>
              <w:t> </w:t>
            </w:r>
            <w:r>
              <w:rPr>
                <w:rFonts w:ascii="Times New Roman" w:hAnsi="Times New Roman"/>
                <w14:ligatures w14:val="none"/>
              </w:rPr>
              <w:t>Students evaluate and reflect on their own learning.</w:t>
            </w:r>
          </w:p>
        </w:tc>
        <w:tc>
          <w:tcPr>
            <w:tcW w:w="795"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c>
          <w:tcPr>
            <w:tcW w:w="3030" w:type="dxa"/>
            <w:tcBorders>
              <w:top w:val="single" w:sz="4" w:space="0" w:color="330033"/>
              <w:left w:val="single" w:sz="4" w:space="0" w:color="330033"/>
              <w:bottom w:val="single" w:sz="4" w:space="0" w:color="330033"/>
              <w:right w:val="single" w:sz="4" w:space="0" w:color="330033"/>
            </w:tcBorders>
            <w:tcMar>
              <w:top w:w="58" w:type="dxa"/>
              <w:left w:w="58" w:type="dxa"/>
              <w:bottom w:w="58" w:type="dxa"/>
              <w:right w:w="58" w:type="dxa"/>
            </w:tcMar>
            <w:vAlign w:val="center"/>
            <w:hideMark/>
          </w:tcPr>
          <w:p w:rsidR="008E0492" w:rsidRDefault="008E0492">
            <w:pPr>
              <w:widowControl w:val="0"/>
              <w:rPr>
                <w:rFonts w:ascii="Times New Roman" w:hAnsi="Times New Roman"/>
                <w:sz w:val="22"/>
                <w:szCs w:val="22"/>
                <w14:ligatures w14:val="none"/>
              </w:rPr>
            </w:pPr>
            <w:r>
              <w:rPr>
                <w:rFonts w:ascii="Times New Roman" w:hAnsi="Times New Roman"/>
                <w:sz w:val="22"/>
                <w:szCs w:val="22"/>
                <w14:ligatures w14:val="none"/>
              </w:rPr>
              <w:t> </w:t>
            </w:r>
          </w:p>
        </w:tc>
      </w:tr>
    </w:tbl>
    <w:p w:rsidR="008E0492" w:rsidRDefault="008E0492">
      <w:pPr>
        <w:spacing w:after="160" w:line="259" w:lineRule="auto"/>
        <w:rPr>
          <w:rFonts w:ascii="Times New Roman" w:hAnsi="Times New Roman"/>
          <w:sz w:val="22"/>
          <w:szCs w:val="22"/>
        </w:rPr>
      </w:pPr>
    </w:p>
    <w:sectPr w:rsidR="008E0492" w:rsidSect="00C16C11">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C11" w:rsidRDefault="00C16C11" w:rsidP="00C16C11">
      <w:pPr>
        <w:spacing w:after="0"/>
      </w:pPr>
      <w:r>
        <w:separator/>
      </w:r>
    </w:p>
  </w:endnote>
  <w:endnote w:type="continuationSeparator" w:id="0">
    <w:p w:rsidR="00C16C11" w:rsidRDefault="00C16C11" w:rsidP="00C16C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C11" w:rsidRDefault="00C16C11">
    <w:pPr>
      <w:pStyle w:val="Footer"/>
    </w:pPr>
    <w:r>
      <w:t xml:space="preserve">*This Classroom Observation has been digitized on </w:t>
    </w:r>
    <w:proofErr w:type="spellStart"/>
    <w:r>
      <w:t>MyLearningPlan</w:t>
    </w:r>
    <w:proofErr w:type="spellEnd"/>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C11" w:rsidRDefault="00C16C11" w:rsidP="00C16C11">
      <w:pPr>
        <w:spacing w:after="0"/>
      </w:pPr>
      <w:r>
        <w:separator/>
      </w:r>
    </w:p>
  </w:footnote>
  <w:footnote w:type="continuationSeparator" w:id="0">
    <w:p w:rsidR="00C16C11" w:rsidRDefault="00C16C11" w:rsidP="00C16C1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74DC"/>
    <w:multiLevelType w:val="hybridMultilevel"/>
    <w:tmpl w:val="F9CE13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177DA"/>
    <w:multiLevelType w:val="hybridMultilevel"/>
    <w:tmpl w:val="70E45C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756E69"/>
    <w:multiLevelType w:val="hybridMultilevel"/>
    <w:tmpl w:val="BEDA4398"/>
    <w:lvl w:ilvl="0" w:tplc="3FC6DB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AE268F"/>
    <w:multiLevelType w:val="hybridMultilevel"/>
    <w:tmpl w:val="FBF0C8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9A785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92"/>
    <w:rsid w:val="00446BFF"/>
    <w:rsid w:val="008E0492"/>
    <w:rsid w:val="00B809BB"/>
    <w:rsid w:val="00C16C11"/>
    <w:rsid w:val="00F12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B824D-0B26-4E7B-A5C0-54892716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492"/>
    <w:pPr>
      <w:spacing w:after="2" w:line="240" w:lineRule="auto"/>
    </w:pPr>
    <w:rPr>
      <w:rFonts w:ascii="Gill Sans MT" w:eastAsia="Times New Roman" w:hAnsi="Gill Sans MT" w:cs="Times New Roman"/>
      <w:color w:val="000000"/>
      <w:kern w:val="28"/>
      <w:sz w:val="18"/>
      <w:szCs w:val="18"/>
      <w14:ligatures w14:val="standard"/>
      <w14:cntxtAlts/>
    </w:rPr>
  </w:style>
  <w:style w:type="paragraph" w:styleId="Heading1">
    <w:name w:val="heading 1"/>
    <w:basedOn w:val="Normal"/>
    <w:next w:val="Normal"/>
    <w:link w:val="Heading1Char"/>
    <w:uiPriority w:val="9"/>
    <w:qFormat/>
    <w:rsid w:val="00C16C11"/>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6C11"/>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6C11"/>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16C11"/>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16C11"/>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16C11"/>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16C11"/>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16C1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6C1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2">
    <w:name w:val="Appendix Heading 2"/>
    <w:basedOn w:val="Normal"/>
    <w:rsid w:val="008E0492"/>
    <w:pPr>
      <w:spacing w:before="320" w:after="0" w:line="320" w:lineRule="exact"/>
    </w:pPr>
    <w:rPr>
      <w:rFonts w:ascii="Century Gothic" w:hAnsi="Century Gothic"/>
      <w:b/>
      <w:bCs/>
      <w:sz w:val="28"/>
      <w:szCs w:val="26"/>
    </w:rPr>
  </w:style>
  <w:style w:type="paragraph" w:styleId="ListParagraph">
    <w:name w:val="List Paragraph"/>
    <w:basedOn w:val="Normal"/>
    <w:uiPriority w:val="34"/>
    <w:qFormat/>
    <w:rsid w:val="008E0492"/>
    <w:pPr>
      <w:ind w:left="720"/>
      <w:contextualSpacing/>
    </w:pPr>
  </w:style>
  <w:style w:type="paragraph" w:customStyle="1" w:styleId="Tabletext">
    <w:name w:val="Table text"/>
    <w:rsid w:val="008E0492"/>
    <w:pPr>
      <w:spacing w:before="60" w:after="60" w:line="240" w:lineRule="exact"/>
    </w:pPr>
    <w:rPr>
      <w:rFonts w:ascii="Times New Roman" w:eastAsia="Times New Roman" w:hAnsi="Times New Roman" w:cs="Times New Roman"/>
      <w:color w:val="000000"/>
      <w:kern w:val="28"/>
      <w:sz w:val="20"/>
      <w:szCs w:val="24"/>
      <w14:ligatures w14:val="standard"/>
      <w14:cntxtAlts/>
    </w:rPr>
  </w:style>
  <w:style w:type="paragraph" w:customStyle="1" w:styleId="AppendixHeading3">
    <w:name w:val="Appendix Heading 3"/>
    <w:basedOn w:val="Normal"/>
    <w:rsid w:val="008E0492"/>
    <w:pPr>
      <w:spacing w:after="320" w:line="320" w:lineRule="exact"/>
    </w:pPr>
    <w:rPr>
      <w:rFonts w:ascii="Century Gothic" w:hAnsi="Century Gothic"/>
      <w:b/>
      <w:sz w:val="22"/>
      <w:szCs w:val="26"/>
    </w:rPr>
  </w:style>
  <w:style w:type="paragraph" w:customStyle="1" w:styleId="Appendicesbullet">
    <w:name w:val="Appendices bullet"/>
    <w:basedOn w:val="Normal"/>
    <w:rsid w:val="008E0492"/>
    <w:pPr>
      <w:tabs>
        <w:tab w:val="left" w:pos="43"/>
      </w:tabs>
      <w:spacing w:after="60" w:line="280" w:lineRule="exact"/>
      <w:ind w:left="810" w:hanging="360"/>
    </w:pPr>
    <w:rPr>
      <w:rFonts w:ascii="Times New Roman" w:hAnsi="Times New Roman"/>
      <w:sz w:val="24"/>
      <w:szCs w:val="24"/>
    </w:rPr>
  </w:style>
  <w:style w:type="character" w:customStyle="1" w:styleId="Heading1Char">
    <w:name w:val="Heading 1 Char"/>
    <w:basedOn w:val="DefaultParagraphFont"/>
    <w:link w:val="Heading1"/>
    <w:uiPriority w:val="9"/>
    <w:rsid w:val="00C16C11"/>
    <w:rPr>
      <w:rFonts w:asciiTheme="majorHAnsi" w:eastAsiaTheme="majorEastAsia" w:hAnsiTheme="majorHAnsi" w:cstheme="majorBidi"/>
      <w:color w:val="2E74B5" w:themeColor="accent1" w:themeShade="BF"/>
      <w:kern w:val="28"/>
      <w:sz w:val="32"/>
      <w:szCs w:val="32"/>
      <w14:ligatures w14:val="standard"/>
      <w14:cntxtAlts/>
    </w:rPr>
  </w:style>
  <w:style w:type="character" w:customStyle="1" w:styleId="Heading2Char">
    <w:name w:val="Heading 2 Char"/>
    <w:basedOn w:val="DefaultParagraphFont"/>
    <w:link w:val="Heading2"/>
    <w:uiPriority w:val="9"/>
    <w:semiHidden/>
    <w:rsid w:val="00C16C11"/>
    <w:rPr>
      <w:rFonts w:asciiTheme="majorHAnsi" w:eastAsiaTheme="majorEastAsia" w:hAnsiTheme="majorHAnsi" w:cstheme="majorBidi"/>
      <w:color w:val="2E74B5" w:themeColor="accent1" w:themeShade="BF"/>
      <w:kern w:val="28"/>
      <w:sz w:val="26"/>
      <w:szCs w:val="26"/>
      <w14:ligatures w14:val="standard"/>
      <w14:cntxtAlts/>
    </w:rPr>
  </w:style>
  <w:style w:type="character" w:customStyle="1" w:styleId="Heading3Char">
    <w:name w:val="Heading 3 Char"/>
    <w:basedOn w:val="DefaultParagraphFont"/>
    <w:link w:val="Heading3"/>
    <w:uiPriority w:val="9"/>
    <w:semiHidden/>
    <w:rsid w:val="00C16C11"/>
    <w:rPr>
      <w:rFonts w:asciiTheme="majorHAnsi" w:eastAsiaTheme="majorEastAsia" w:hAnsiTheme="majorHAnsi" w:cstheme="majorBidi"/>
      <w:color w:val="1F4D78" w:themeColor="accent1" w:themeShade="7F"/>
      <w:kern w:val="28"/>
      <w:sz w:val="24"/>
      <w:szCs w:val="24"/>
      <w14:ligatures w14:val="standard"/>
      <w14:cntxtAlts/>
    </w:rPr>
  </w:style>
  <w:style w:type="character" w:customStyle="1" w:styleId="Heading4Char">
    <w:name w:val="Heading 4 Char"/>
    <w:basedOn w:val="DefaultParagraphFont"/>
    <w:link w:val="Heading4"/>
    <w:uiPriority w:val="9"/>
    <w:semiHidden/>
    <w:rsid w:val="00C16C11"/>
    <w:rPr>
      <w:rFonts w:asciiTheme="majorHAnsi" w:eastAsiaTheme="majorEastAsia" w:hAnsiTheme="majorHAnsi" w:cstheme="majorBidi"/>
      <w:i/>
      <w:iCs/>
      <w:color w:val="2E74B5" w:themeColor="accent1" w:themeShade="BF"/>
      <w:kern w:val="28"/>
      <w:sz w:val="18"/>
      <w:szCs w:val="18"/>
      <w14:ligatures w14:val="standard"/>
      <w14:cntxtAlts/>
    </w:rPr>
  </w:style>
  <w:style w:type="character" w:customStyle="1" w:styleId="Heading5Char">
    <w:name w:val="Heading 5 Char"/>
    <w:basedOn w:val="DefaultParagraphFont"/>
    <w:link w:val="Heading5"/>
    <w:uiPriority w:val="9"/>
    <w:semiHidden/>
    <w:rsid w:val="00C16C11"/>
    <w:rPr>
      <w:rFonts w:asciiTheme="majorHAnsi" w:eastAsiaTheme="majorEastAsia" w:hAnsiTheme="majorHAnsi" w:cstheme="majorBidi"/>
      <w:color w:val="2E74B5" w:themeColor="accent1" w:themeShade="BF"/>
      <w:kern w:val="28"/>
      <w:sz w:val="18"/>
      <w:szCs w:val="18"/>
      <w14:ligatures w14:val="standard"/>
      <w14:cntxtAlts/>
    </w:rPr>
  </w:style>
  <w:style w:type="character" w:customStyle="1" w:styleId="Heading6Char">
    <w:name w:val="Heading 6 Char"/>
    <w:basedOn w:val="DefaultParagraphFont"/>
    <w:link w:val="Heading6"/>
    <w:uiPriority w:val="9"/>
    <w:semiHidden/>
    <w:rsid w:val="00C16C11"/>
    <w:rPr>
      <w:rFonts w:asciiTheme="majorHAnsi" w:eastAsiaTheme="majorEastAsia" w:hAnsiTheme="majorHAnsi" w:cstheme="majorBidi"/>
      <w:color w:val="1F4D78" w:themeColor="accent1" w:themeShade="7F"/>
      <w:kern w:val="28"/>
      <w:sz w:val="18"/>
      <w:szCs w:val="18"/>
      <w14:ligatures w14:val="standard"/>
      <w14:cntxtAlts/>
    </w:rPr>
  </w:style>
  <w:style w:type="character" w:customStyle="1" w:styleId="Heading7Char">
    <w:name w:val="Heading 7 Char"/>
    <w:basedOn w:val="DefaultParagraphFont"/>
    <w:link w:val="Heading7"/>
    <w:uiPriority w:val="9"/>
    <w:semiHidden/>
    <w:rsid w:val="00C16C11"/>
    <w:rPr>
      <w:rFonts w:asciiTheme="majorHAnsi" w:eastAsiaTheme="majorEastAsia" w:hAnsiTheme="majorHAnsi" w:cstheme="majorBidi"/>
      <w:i/>
      <w:iCs/>
      <w:color w:val="1F4D78" w:themeColor="accent1" w:themeShade="7F"/>
      <w:kern w:val="28"/>
      <w:sz w:val="18"/>
      <w:szCs w:val="18"/>
      <w14:ligatures w14:val="standard"/>
      <w14:cntxtAlts/>
    </w:rPr>
  </w:style>
  <w:style w:type="character" w:customStyle="1" w:styleId="Heading8Char">
    <w:name w:val="Heading 8 Char"/>
    <w:basedOn w:val="DefaultParagraphFont"/>
    <w:link w:val="Heading8"/>
    <w:uiPriority w:val="9"/>
    <w:semiHidden/>
    <w:rsid w:val="00C16C11"/>
    <w:rPr>
      <w:rFonts w:asciiTheme="majorHAnsi" w:eastAsiaTheme="majorEastAsia" w:hAnsiTheme="majorHAnsi" w:cstheme="majorBidi"/>
      <w:color w:val="272727" w:themeColor="text1" w:themeTint="D8"/>
      <w:kern w:val="28"/>
      <w:sz w:val="21"/>
      <w:szCs w:val="21"/>
      <w14:ligatures w14:val="standard"/>
      <w14:cntxtAlts/>
    </w:rPr>
  </w:style>
  <w:style w:type="character" w:customStyle="1" w:styleId="Heading9Char">
    <w:name w:val="Heading 9 Char"/>
    <w:basedOn w:val="DefaultParagraphFont"/>
    <w:link w:val="Heading9"/>
    <w:uiPriority w:val="9"/>
    <w:semiHidden/>
    <w:rsid w:val="00C16C11"/>
    <w:rPr>
      <w:rFonts w:asciiTheme="majorHAnsi" w:eastAsiaTheme="majorEastAsia" w:hAnsiTheme="majorHAnsi" w:cstheme="majorBidi"/>
      <w:i/>
      <w:iCs/>
      <w:color w:val="272727" w:themeColor="text1" w:themeTint="D8"/>
      <w:kern w:val="28"/>
      <w:sz w:val="21"/>
      <w:szCs w:val="21"/>
      <w14:ligatures w14:val="standard"/>
      <w14:cntxtAlts/>
    </w:rPr>
  </w:style>
  <w:style w:type="paragraph" w:styleId="NoSpacing">
    <w:name w:val="No Spacing"/>
    <w:uiPriority w:val="1"/>
    <w:qFormat/>
    <w:rsid w:val="00C16C11"/>
    <w:pPr>
      <w:spacing w:after="0" w:line="240" w:lineRule="auto"/>
    </w:pPr>
    <w:rPr>
      <w:rFonts w:ascii="Gill Sans MT" w:eastAsia="Times New Roman" w:hAnsi="Gill Sans MT" w:cs="Times New Roman"/>
      <w:color w:val="000000"/>
      <w:kern w:val="28"/>
      <w:sz w:val="18"/>
      <w:szCs w:val="18"/>
      <w14:ligatures w14:val="standard"/>
      <w14:cntxtAlts/>
    </w:rPr>
  </w:style>
  <w:style w:type="paragraph" w:styleId="Header">
    <w:name w:val="header"/>
    <w:basedOn w:val="Normal"/>
    <w:link w:val="HeaderChar"/>
    <w:uiPriority w:val="99"/>
    <w:unhideWhenUsed/>
    <w:rsid w:val="00C16C11"/>
    <w:pPr>
      <w:tabs>
        <w:tab w:val="center" w:pos="4680"/>
        <w:tab w:val="right" w:pos="9360"/>
      </w:tabs>
      <w:spacing w:after="0"/>
    </w:pPr>
  </w:style>
  <w:style w:type="character" w:customStyle="1" w:styleId="HeaderChar">
    <w:name w:val="Header Char"/>
    <w:basedOn w:val="DefaultParagraphFont"/>
    <w:link w:val="Header"/>
    <w:uiPriority w:val="99"/>
    <w:rsid w:val="00C16C11"/>
    <w:rPr>
      <w:rFonts w:ascii="Gill Sans MT" w:eastAsia="Times New Roman" w:hAnsi="Gill Sans MT" w:cs="Times New Roman"/>
      <w:color w:val="000000"/>
      <w:kern w:val="28"/>
      <w:sz w:val="18"/>
      <w:szCs w:val="18"/>
      <w14:ligatures w14:val="standard"/>
      <w14:cntxtAlts/>
    </w:rPr>
  </w:style>
  <w:style w:type="paragraph" w:styleId="Footer">
    <w:name w:val="footer"/>
    <w:basedOn w:val="Normal"/>
    <w:link w:val="FooterChar"/>
    <w:uiPriority w:val="99"/>
    <w:unhideWhenUsed/>
    <w:rsid w:val="00C16C11"/>
    <w:pPr>
      <w:tabs>
        <w:tab w:val="center" w:pos="4680"/>
        <w:tab w:val="right" w:pos="9360"/>
      </w:tabs>
      <w:spacing w:after="0"/>
    </w:pPr>
  </w:style>
  <w:style w:type="character" w:customStyle="1" w:styleId="FooterChar">
    <w:name w:val="Footer Char"/>
    <w:basedOn w:val="DefaultParagraphFont"/>
    <w:link w:val="Footer"/>
    <w:uiPriority w:val="99"/>
    <w:rsid w:val="00C16C11"/>
    <w:rPr>
      <w:rFonts w:ascii="Gill Sans MT" w:eastAsia="Times New Roman" w:hAnsi="Gill Sans MT" w:cs="Times New Roman"/>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772479">
      <w:bodyDiv w:val="1"/>
      <w:marLeft w:val="0"/>
      <w:marRight w:val="0"/>
      <w:marTop w:val="0"/>
      <w:marBottom w:val="0"/>
      <w:divBdr>
        <w:top w:val="none" w:sz="0" w:space="0" w:color="auto"/>
        <w:left w:val="none" w:sz="0" w:space="0" w:color="auto"/>
        <w:bottom w:val="none" w:sz="0" w:space="0" w:color="auto"/>
        <w:right w:val="none" w:sz="0" w:space="0" w:color="auto"/>
      </w:divBdr>
    </w:div>
    <w:div w:id="555895594">
      <w:bodyDiv w:val="1"/>
      <w:marLeft w:val="0"/>
      <w:marRight w:val="0"/>
      <w:marTop w:val="0"/>
      <w:marBottom w:val="0"/>
      <w:divBdr>
        <w:top w:val="none" w:sz="0" w:space="0" w:color="auto"/>
        <w:left w:val="none" w:sz="0" w:space="0" w:color="auto"/>
        <w:bottom w:val="none" w:sz="0" w:space="0" w:color="auto"/>
        <w:right w:val="none" w:sz="0" w:space="0" w:color="auto"/>
      </w:divBdr>
    </w:div>
    <w:div w:id="1167479664">
      <w:bodyDiv w:val="1"/>
      <w:marLeft w:val="0"/>
      <w:marRight w:val="0"/>
      <w:marTop w:val="0"/>
      <w:marBottom w:val="0"/>
      <w:divBdr>
        <w:top w:val="none" w:sz="0" w:space="0" w:color="auto"/>
        <w:left w:val="none" w:sz="0" w:space="0" w:color="auto"/>
        <w:bottom w:val="none" w:sz="0" w:space="0" w:color="auto"/>
        <w:right w:val="none" w:sz="0" w:space="0" w:color="auto"/>
      </w:divBdr>
    </w:div>
    <w:div w:id="1285959471">
      <w:bodyDiv w:val="1"/>
      <w:marLeft w:val="0"/>
      <w:marRight w:val="0"/>
      <w:marTop w:val="0"/>
      <w:marBottom w:val="0"/>
      <w:divBdr>
        <w:top w:val="none" w:sz="0" w:space="0" w:color="auto"/>
        <w:left w:val="none" w:sz="0" w:space="0" w:color="auto"/>
        <w:bottom w:val="none" w:sz="0" w:space="0" w:color="auto"/>
        <w:right w:val="none" w:sz="0" w:space="0" w:color="auto"/>
      </w:divBdr>
    </w:div>
    <w:div w:id="1399204562">
      <w:bodyDiv w:val="1"/>
      <w:marLeft w:val="0"/>
      <w:marRight w:val="0"/>
      <w:marTop w:val="0"/>
      <w:marBottom w:val="0"/>
      <w:divBdr>
        <w:top w:val="none" w:sz="0" w:space="0" w:color="auto"/>
        <w:left w:val="none" w:sz="0" w:space="0" w:color="auto"/>
        <w:bottom w:val="none" w:sz="0" w:space="0" w:color="auto"/>
        <w:right w:val="none" w:sz="0" w:space="0" w:color="auto"/>
      </w:divBdr>
    </w:div>
    <w:div w:id="1490053836">
      <w:bodyDiv w:val="1"/>
      <w:marLeft w:val="0"/>
      <w:marRight w:val="0"/>
      <w:marTop w:val="0"/>
      <w:marBottom w:val="0"/>
      <w:divBdr>
        <w:top w:val="none" w:sz="0" w:space="0" w:color="auto"/>
        <w:left w:val="none" w:sz="0" w:space="0" w:color="auto"/>
        <w:bottom w:val="none" w:sz="0" w:space="0" w:color="auto"/>
        <w:right w:val="none" w:sz="0" w:space="0" w:color="auto"/>
      </w:divBdr>
    </w:div>
    <w:div w:id="1831435214">
      <w:bodyDiv w:val="1"/>
      <w:marLeft w:val="0"/>
      <w:marRight w:val="0"/>
      <w:marTop w:val="0"/>
      <w:marBottom w:val="0"/>
      <w:divBdr>
        <w:top w:val="none" w:sz="0" w:space="0" w:color="auto"/>
        <w:left w:val="none" w:sz="0" w:space="0" w:color="auto"/>
        <w:bottom w:val="none" w:sz="0" w:space="0" w:color="auto"/>
        <w:right w:val="none" w:sz="0" w:space="0" w:color="auto"/>
      </w:divBdr>
    </w:div>
    <w:div w:id="1970627924">
      <w:bodyDiv w:val="1"/>
      <w:marLeft w:val="0"/>
      <w:marRight w:val="0"/>
      <w:marTop w:val="0"/>
      <w:marBottom w:val="0"/>
      <w:divBdr>
        <w:top w:val="none" w:sz="0" w:space="0" w:color="auto"/>
        <w:left w:val="none" w:sz="0" w:space="0" w:color="auto"/>
        <w:bottom w:val="none" w:sz="0" w:space="0" w:color="auto"/>
        <w:right w:val="none" w:sz="0" w:space="0" w:color="auto"/>
      </w:divBdr>
    </w:div>
    <w:div w:id="207272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Alex [IDOE]</dc:creator>
  <cp:keywords/>
  <dc:description/>
  <cp:lastModifiedBy>Ledvina, Barbara [IDOE]</cp:lastModifiedBy>
  <cp:revision>2</cp:revision>
  <dcterms:created xsi:type="dcterms:W3CDTF">2018-04-16T15:39:00Z</dcterms:created>
  <dcterms:modified xsi:type="dcterms:W3CDTF">2018-04-16T15:39:00Z</dcterms:modified>
</cp:coreProperties>
</file>